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方正小标宋简体" w:hAnsi="Calibri" w:eastAsia="方正小标宋简体" w:cs="Times New Roman"/>
          <w:b w:val="0"/>
          <w:bCs w:val="0"/>
          <w:kern w:val="2"/>
          <w:sz w:val="36"/>
          <w:szCs w:val="36"/>
          <w:lang w:val="en-US" w:eastAsia="zh-CN" w:bidi="ar-SA"/>
        </w:rPr>
      </w:pPr>
      <w:r>
        <w:rPr>
          <w:rFonts w:hint="eastAsia" w:ascii="方正小标宋简体" w:hAnsi="Calibri" w:eastAsia="方正小标宋简体" w:cs="Times New Roman"/>
          <w:b w:val="0"/>
          <w:bCs w:val="0"/>
          <w:kern w:val="2"/>
          <w:sz w:val="36"/>
          <w:szCs w:val="36"/>
          <w:lang w:val="en-US" w:eastAsia="zh-CN" w:bidi="ar-SA"/>
        </w:rPr>
        <w:t>山东水利技师学院关于2023年大学生民乐团乐器采购项目的询价公告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山东水利技师学院现对2023年大学生民乐团乐器采购项目组织</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公开询价采购</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。欢迎合格的供应商前来参与。</w:t>
      </w:r>
    </w:p>
    <w:p>
      <w:pPr>
        <w:spacing w:line="600" w:lineRule="exact"/>
        <w:ind w:firstLine="707" w:firstLineChars="221"/>
        <w:rPr>
          <w:rFonts w:hint="eastAsia" w:ascii="黑体" w:hAnsi="黑体" w:eastAsia="黑体" w:cs="Times New Roman"/>
          <w:sz w:val="32"/>
          <w:szCs w:val="32"/>
        </w:rPr>
      </w:pPr>
      <w:r>
        <w:rPr>
          <w:rFonts w:hint="default" w:ascii="黑体" w:hAnsi="黑体" w:eastAsia="黑体" w:cs="Times New Roman"/>
          <w:sz w:val="32"/>
          <w:szCs w:val="32"/>
          <w:lang w:val="en-US" w:eastAsia="zh-CN"/>
        </w:rPr>
        <w:t>一、采购人：山东水利技师学院</w:t>
      </w:r>
    </w:p>
    <w:p>
      <w:pPr>
        <w:spacing w:line="600" w:lineRule="exact"/>
        <w:ind w:firstLine="707" w:firstLineChars="221"/>
        <w:rPr>
          <w:rFonts w:hint="eastAsia" w:ascii="黑体" w:hAnsi="黑体" w:eastAsia="黑体" w:cs="Times New Roman"/>
          <w:sz w:val="32"/>
          <w:szCs w:val="32"/>
          <w:lang w:val="en-US" w:eastAsia="zh-CN"/>
        </w:rPr>
      </w:pPr>
      <w:r>
        <w:rPr>
          <w:rFonts w:hint="default" w:ascii="黑体" w:hAnsi="黑体" w:eastAsia="黑体" w:cs="Times New Roman"/>
          <w:sz w:val="32"/>
          <w:szCs w:val="32"/>
          <w:lang w:val="en-US" w:eastAsia="zh-CN"/>
        </w:rPr>
        <w:t>二、项目名称：</w:t>
      </w:r>
      <w:r>
        <w:rPr>
          <w:rFonts w:hint="eastAsia" w:ascii="黑体" w:hAnsi="黑体" w:eastAsia="黑体" w:cs="Times New Roman"/>
          <w:sz w:val="32"/>
          <w:szCs w:val="32"/>
          <w:lang w:val="en-US" w:eastAsia="zh-CN"/>
        </w:rPr>
        <w:t>大学生民乐团项目</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78" w:lineRule="atLeast"/>
        <w:ind w:left="0" w:right="0" w:firstLine="640"/>
        <w:jc w:val="both"/>
        <w:rPr>
          <w:rFonts w:hint="default"/>
          <w:b w:val="0"/>
          <w:bCs w:val="0"/>
          <w:lang w:val="en-US"/>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项目编号：SDSLJSXY202</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3</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0</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项目控制价：</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6</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万元（含税、运输、发票等全部费用），费用的最终结算按照投标综合单价和实际购买数量确定。</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三、供货时间要求</w:t>
      </w:r>
      <w:r>
        <w:rPr>
          <w:rFonts w:hint="eastAsia" w:ascii="黑体" w:hAnsi="黑体" w:eastAsia="黑体" w:cs="Times New Roman"/>
          <w:sz w:val="32"/>
          <w:szCs w:val="32"/>
          <w:lang w:val="en-US" w:eastAsia="zh-CN"/>
        </w:rPr>
        <w:t>及支付方式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（一）供货截止日期：自签订合同之日起</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30日内交付全部货物</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ascii="仿宋" w:hAnsi="仿宋" w:eastAsia="仿宋" w:cs="仿宋"/>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（二）签订合同前，成交方需向采购方缴纳</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2000元</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的</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质量</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保证金。</w:t>
      </w:r>
      <w:r>
        <w:rPr>
          <w:rFonts w:ascii="仿宋" w:hAnsi="仿宋" w:eastAsia="仿宋" w:cs="仿宋"/>
          <w:b w:val="0"/>
          <w:bCs w:val="0"/>
          <w:i w:val="0"/>
          <w:iCs w:val="0"/>
          <w:caps w:val="0"/>
          <w:color w:val="212121"/>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（三）</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货物交付完毕，验收合格之日起15日内全额支付合同款。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（四）质保期1年，保修期满后，乙方提出质保金返还申请，若无质量问题及争议，甲方出具保修期满验收合格证明，则一次性无息退付全部质量保证金。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五</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）响应报价文件组成包含：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1.单位营业执照副本复印件加盖单位公章。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2.由全权代表签字并加盖公章的清单报价表。最终采购清单内容甲方有权作出调整。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3.单位全权代表身份证复印件加盖单位公章。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六</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）报价文件编制要求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报价文件编制要求：报价文件一式3份，其中正本1份，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副本2份。报价文件正副本均须采用A4纸装订，不得采用活页夹装订。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七</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）采购清单见附件，若对项目要求不清楚，请联系</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贺</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老师。</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四、供应商要求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（一）报价时需携带有效的营业执照原件及法定代表人或经营者授权委托书。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（二）供应商提供相关耗材的报价。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三</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）符合《中华人民共和国政府采购法》第二十二条规定且未被列入信用中国网站(www.creditchina.gov.cn)、中国政府采购网(www.ccgp.gov.cn) 渠道信用记录失信被执行人、重大税收违法案件当事人名单、政府采购严重违法失信行为记录名单的供应商</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w:t>
      </w: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五、报价时间（响应截止时间）及地点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报价时间：20</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23</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年</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月</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20</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日</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上</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午</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9</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b w:val="0"/>
          <w:bCs w:val="0"/>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报价地点：山东水利技师学院</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唯实</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楼</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2</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02室</w:t>
      </w:r>
    </w:p>
    <w:p>
      <w:pPr>
        <w:spacing w:line="600" w:lineRule="exact"/>
        <w:ind w:firstLine="707" w:firstLineChars="221"/>
        <w:rPr>
          <w:rFonts w:hint="default" w:ascii="黑体" w:hAnsi="黑体" w:eastAsia="黑体" w:cs="Times New Roman"/>
          <w:sz w:val="32"/>
          <w:szCs w:val="32"/>
          <w:lang w:val="en-US" w:eastAsia="zh-CN"/>
        </w:rPr>
      </w:pPr>
    </w:p>
    <w:p>
      <w:pPr>
        <w:spacing w:line="600" w:lineRule="exact"/>
        <w:ind w:firstLine="707" w:firstLineChars="221"/>
        <w:rPr>
          <w:rFonts w:hint="default" w:ascii="黑体" w:hAnsi="黑体" w:eastAsia="黑体" w:cs="Times New Roman"/>
          <w:sz w:val="32"/>
          <w:szCs w:val="32"/>
          <w:lang w:val="en-US" w:eastAsia="zh-CN"/>
        </w:rPr>
      </w:pPr>
      <w:r>
        <w:rPr>
          <w:rFonts w:hint="default" w:ascii="黑体" w:hAnsi="黑体" w:eastAsia="黑体" w:cs="Times New Roman"/>
          <w:sz w:val="32"/>
          <w:szCs w:val="32"/>
          <w:lang w:val="en-US" w:eastAsia="zh-CN"/>
        </w:rPr>
        <w:t>六、联系人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pP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联系人：贺</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联系电话：0533—382</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5158</w:t>
      </w:r>
      <w:r>
        <w:rPr>
          <w:rFonts w:hint="default" w:ascii="仿宋_GB2312" w:hAnsi="微软雅黑" w:eastAsia="仿宋_GB2312" w:cs="仿宋_GB2312"/>
          <w:b w:val="0"/>
          <w:bCs w:val="0"/>
          <w:i w:val="0"/>
          <w:iCs w:val="0"/>
          <w:caps w:val="0"/>
          <w:color w:val="212121"/>
          <w:spacing w:val="0"/>
          <w:kern w:val="0"/>
          <w:sz w:val="32"/>
          <w:szCs w:val="32"/>
          <w:shd w:val="clear" w:fill="FFFFFF"/>
          <w:lang w:val="en-US" w:eastAsia="zh-CN" w:bidi="ar"/>
        </w:rPr>
        <w:t> 1</w:t>
      </w:r>
      <w:r>
        <w:rPr>
          <w:rFonts w:hint="eastAsia" w:ascii="仿宋_GB2312" w:hAnsi="微软雅黑" w:eastAsia="仿宋_GB2312" w:cs="仿宋_GB2312"/>
          <w:b w:val="0"/>
          <w:bCs w:val="0"/>
          <w:i w:val="0"/>
          <w:iCs w:val="0"/>
          <w:caps w:val="0"/>
          <w:color w:val="212121"/>
          <w:spacing w:val="0"/>
          <w:kern w:val="0"/>
          <w:sz w:val="32"/>
          <w:szCs w:val="32"/>
          <w:shd w:val="clear" w:fill="FFFFFF"/>
          <w:lang w:val="en-US" w:eastAsia="zh-CN" w:bidi="ar"/>
        </w:rPr>
        <w:t>5965528200</w:t>
      </w:r>
      <w:r>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b w:val="0"/>
          <w:bCs w:val="0"/>
          <w:i w:val="0"/>
          <w:iCs w:val="0"/>
          <w:caps w:val="0"/>
          <w:color w:val="212121"/>
          <w:spacing w:val="0"/>
          <w:kern w:val="0"/>
          <w:sz w:val="18"/>
          <w:szCs w:val="18"/>
          <w:shd w:val="clear" w:fill="FFFFFF"/>
          <w:lang w:val="en-US" w:eastAsia="zh-CN" w:bidi="ar"/>
        </w:rPr>
      </w:pP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kern w:val="0"/>
          <w:sz w:val="24"/>
          <w:lang w:val="zh-CN"/>
        </w:rPr>
        <w:t xml:space="preserve">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rPr>
          <w:rFonts w:hint="eastAsia" w:eastAsia="仿宋_GB2312"/>
          <w:lang w:eastAsia="zh-CN"/>
        </w:rPr>
      </w:pPr>
      <w:r>
        <w:rPr>
          <w:rFonts w:hint="eastAsia"/>
          <w:lang w:eastAsia="zh-CN"/>
        </w:rPr>
        <w:t>附件：项目内容</w:t>
      </w:r>
    </w:p>
    <w:tbl>
      <w:tblPr>
        <w:tblStyle w:val="6"/>
        <w:tblW w:w="94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77"/>
        <w:gridCol w:w="6473"/>
        <w:gridCol w:w="9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tcBorders>
              <w:top w:val="double" w:color="auto" w:sz="4" w:space="0"/>
              <w:left w:val="double" w:color="auto" w:sz="4" w:space="0"/>
              <w:bottom w:val="single" w:color="auto" w:sz="4" w:space="0"/>
              <w:right w:val="single" w:color="auto" w:sz="4" w:space="0"/>
            </w:tcBorders>
            <w:noWrap w:val="0"/>
            <w:vAlign w:val="center"/>
          </w:tcPr>
          <w:p>
            <w:pPr>
              <w:jc w:val="center"/>
              <w:rPr>
                <w:rFonts w:ascii="宋体" w:hAnsi="宋体"/>
                <w:b w:val="0"/>
                <w:bCs/>
                <w:sz w:val="28"/>
              </w:rPr>
            </w:pPr>
            <w:r>
              <w:rPr>
                <w:rFonts w:hint="eastAsia" w:ascii="宋体" w:hAnsi="宋体"/>
                <w:b w:val="0"/>
                <w:bCs/>
                <w:sz w:val="28"/>
              </w:rPr>
              <w:t>类别</w:t>
            </w:r>
          </w:p>
        </w:tc>
        <w:tc>
          <w:tcPr>
            <w:tcW w:w="1077" w:type="dxa"/>
            <w:tcBorders>
              <w:top w:val="double" w:color="auto" w:sz="4" w:space="0"/>
              <w:left w:val="single" w:color="auto" w:sz="4" w:space="0"/>
              <w:bottom w:val="single" w:color="auto" w:sz="4" w:space="0"/>
              <w:right w:val="single" w:color="auto" w:sz="4" w:space="0"/>
            </w:tcBorders>
            <w:noWrap w:val="0"/>
            <w:vAlign w:val="center"/>
          </w:tcPr>
          <w:p>
            <w:pPr>
              <w:jc w:val="center"/>
              <w:rPr>
                <w:rFonts w:ascii="宋体" w:hAnsi="宋体"/>
                <w:b w:val="0"/>
                <w:bCs/>
                <w:sz w:val="28"/>
              </w:rPr>
            </w:pPr>
            <w:r>
              <w:rPr>
                <w:rFonts w:hint="eastAsia" w:ascii="宋体" w:hAnsi="宋体"/>
                <w:b w:val="0"/>
                <w:bCs/>
                <w:sz w:val="28"/>
              </w:rPr>
              <w:t>名 称</w:t>
            </w:r>
          </w:p>
        </w:tc>
        <w:tc>
          <w:tcPr>
            <w:tcW w:w="6473" w:type="dxa"/>
            <w:tcBorders>
              <w:top w:val="double" w:color="auto" w:sz="4" w:space="0"/>
              <w:left w:val="single" w:color="auto" w:sz="4" w:space="0"/>
              <w:bottom w:val="single" w:color="auto" w:sz="4" w:space="0"/>
              <w:right w:val="single" w:color="auto" w:sz="4" w:space="0"/>
            </w:tcBorders>
            <w:noWrap w:val="0"/>
            <w:vAlign w:val="center"/>
          </w:tcPr>
          <w:p>
            <w:pPr>
              <w:jc w:val="center"/>
              <w:rPr>
                <w:rFonts w:ascii="宋体" w:hAnsi="宋体"/>
                <w:b w:val="0"/>
                <w:bCs/>
                <w:sz w:val="28"/>
              </w:rPr>
            </w:pPr>
            <w:r>
              <w:rPr>
                <w:rFonts w:hint="eastAsia" w:ascii="宋体" w:hAnsi="宋体"/>
                <w:b w:val="0"/>
                <w:bCs/>
                <w:sz w:val="28"/>
              </w:rPr>
              <w:t>主要技术参数</w:t>
            </w:r>
          </w:p>
        </w:tc>
        <w:tc>
          <w:tcPr>
            <w:tcW w:w="980"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b w:val="0"/>
                <w:bCs/>
                <w:sz w:val="28"/>
              </w:rPr>
            </w:pPr>
            <w:r>
              <w:rPr>
                <w:rFonts w:hint="eastAsia" w:ascii="宋体" w:hAnsi="宋体"/>
                <w:b w:val="0"/>
                <w:bCs/>
                <w:sz w:val="28"/>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28" w:type="dxa"/>
            <w:vMerge w:val="restart"/>
            <w:tcBorders>
              <w:top w:val="single" w:color="auto" w:sz="4" w:space="0"/>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p>
            <w:pPr>
              <w:jc w:val="both"/>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 xml:space="preserve">技 </w:t>
            </w: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 xml:space="preserve">术  </w:t>
            </w:r>
          </w:p>
          <w:p>
            <w:pPr>
              <w:pStyle w:val="9"/>
              <w:rPr>
                <w:rFonts w:hint="eastAsia" w:ascii="宋体" w:hAnsi="宋体" w:eastAsia="仿宋_GB2312" w:cs="宋体"/>
                <w:kern w:val="2"/>
                <w:sz w:val="24"/>
                <w:szCs w:val="20"/>
                <w:lang w:val="en-US" w:eastAsia="zh-CN" w:bidi="ar-SA"/>
              </w:rPr>
            </w:pPr>
          </w:p>
          <w:p>
            <w:pPr>
              <w:pStyle w:val="9"/>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要</w:t>
            </w: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求</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1.古筝</w:t>
            </w:r>
          </w:p>
        </w:tc>
        <w:tc>
          <w:tcPr>
            <w:tcW w:w="647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ind w:firstLine="600" w:firstLineChars="2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演奏筝</w:t>
            </w:r>
          </w:p>
          <w:p>
            <w:pPr>
              <w:autoSpaceDE w:val="0"/>
              <w:autoSpaceDN w:val="0"/>
              <w:adjustRightInd w:val="0"/>
              <w:spacing w:line="240" w:lineRule="auto"/>
              <w:ind w:firstLine="480" w:firstLineChars="2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材质：红木。颜色分类：敦煌专业演奏筝。面板材质：梧桐木。琴码材质：酸枝木背侧板。材质：黑胡桃木。乐器工艺：螺钿。琴弦材质：尼龙钢丝弦。筝首材质：实木底板。材质：梧桐木。指甲：玳瑁指甲（4副）。琴套4个。古筝架：实木老虎架（4个）站立</w:t>
            </w:r>
            <w:bookmarkStart w:id="0" w:name="_GoBack"/>
            <w:bookmarkEnd w:id="0"/>
            <w:r>
              <w:rPr>
                <w:rFonts w:hint="eastAsia" w:ascii="宋体" w:hAnsi="宋体" w:eastAsia="仿宋_GB2312" w:cs="宋体"/>
                <w:kern w:val="2"/>
                <w:sz w:val="24"/>
                <w:szCs w:val="20"/>
                <w:lang w:val="en-US" w:eastAsia="zh-CN" w:bidi="ar-SA"/>
              </w:rPr>
              <w:t>式支架（4个）。古筝凳：高≥43cm面板≥30cm实木古筝圆凳（4个）。</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4架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仿宋_GB2312" w:cs="宋体"/>
                <w:kern w:val="2"/>
                <w:sz w:val="24"/>
                <w:szCs w:val="20"/>
                <w:lang w:val="en-US" w:eastAsia="zh-CN" w:bidi="ar-SA"/>
              </w:rPr>
            </w:pPr>
          </w:p>
          <w:p>
            <w:pP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2.二胡</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360" w:firstLineChars="1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演奏级紫檀二胡</w:t>
            </w:r>
          </w:p>
          <w:p>
            <w:pPr>
              <w:autoSpaceDE w:val="0"/>
              <w:autoSpaceDN w:val="0"/>
              <w:adjustRightInd w:val="0"/>
              <w:spacing w:line="24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特级科特迪瓦小叶紫檀原木抛光六角木辅纯手工蒙皮。</w:t>
            </w:r>
          </w:p>
          <w:p>
            <w:pPr>
              <w:autoSpaceDE w:val="0"/>
              <w:autoSpaceDN w:val="0"/>
              <w:adjustRightInd w:val="0"/>
              <w:spacing w:line="24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外壳材质：紫檀。级别：收藏级。琴型：六方加大。蟒皮：手工蒙皮。琴杆：牛骨嵌线。琴头：龙型头饰。工艺：原木抛光。</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3把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仿宋_GB2312" w:cs="宋体"/>
                <w:kern w:val="2"/>
                <w:sz w:val="24"/>
                <w:szCs w:val="20"/>
                <w:lang w:val="en-US" w:eastAsia="zh-CN" w:bidi="ar-SA"/>
              </w:rPr>
            </w:pPr>
          </w:p>
          <w:p>
            <w:pP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3.琵琶</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360" w:firstLineChars="1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专业红木清水琵琶</w:t>
            </w:r>
          </w:p>
          <w:p>
            <w:pPr>
              <w:autoSpaceDE w:val="0"/>
              <w:autoSpaceDN w:val="0"/>
              <w:adjustRightInd w:val="0"/>
              <w:spacing w:line="24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红木材质，原木抛光木轴木相 原木本色 富贵牡丹头饰</w:t>
            </w:r>
          </w:p>
          <w:p>
            <w:pPr>
              <w:pStyle w:val="9"/>
              <w:ind w:left="0" w:leftChars="0" w:firstLine="0" w:firstLineChars="0"/>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头饰：北溟鲲腾。主材：泡桐/酸枝木。相轸：老红木。尺寸：约102*32cm。工艺：贴画。       指甲：琵琶指甲（1副）</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1把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仿宋_GB2312" w:cs="宋体"/>
                <w:kern w:val="2"/>
                <w:sz w:val="24"/>
                <w:szCs w:val="20"/>
                <w:lang w:val="en-US" w:eastAsia="zh-CN" w:bidi="ar-SA"/>
              </w:rPr>
            </w:pPr>
          </w:p>
          <w:p>
            <w:pPr>
              <w:rPr>
                <w:rFonts w:hint="eastAsia" w:ascii="宋体" w:hAnsi="宋体" w:eastAsia="仿宋_GB2312" w:cs="宋体"/>
                <w:kern w:val="2"/>
                <w:sz w:val="24"/>
                <w:szCs w:val="20"/>
                <w:lang w:val="en-US" w:eastAsia="zh-CN" w:bidi="ar-SA"/>
              </w:rPr>
            </w:pPr>
          </w:p>
          <w:p>
            <w:pP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4.竹笛</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480" w:firstLineChars="2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专业定制竹笛</w:t>
            </w:r>
          </w:p>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特级苦竹，笛头镶牛骨，笛首刻字，笛身扎线，4年以上竹龄。</w:t>
            </w:r>
          </w:p>
          <w:p>
            <w:pPr>
              <w:numPr>
                <w:ilvl w:val="0"/>
                <w:numId w:val="1"/>
              </w:num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C调各一支</w:t>
            </w:r>
          </w:p>
          <w:p>
            <w:pPr>
              <w:numPr>
                <w:ilvl w:val="0"/>
                <w:numId w:val="0"/>
              </w:numPr>
              <w:autoSpaceDE w:val="0"/>
              <w:autoSpaceDN w:val="0"/>
              <w:adjustRightInd w:val="0"/>
              <w:spacing w:line="24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 xml:space="preserve">分类：【G调】 【C调】。材质：小叶紫檀 </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5.锣</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240" w:firstLineChars="1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201中式虎锣</w:t>
            </w:r>
          </w:p>
          <w:p>
            <w:pPr>
              <w:autoSpaceDE w:val="0"/>
              <w:autoSpaceDN w:val="0"/>
              <w:adjustRightInd w:val="0"/>
              <w:spacing w:line="240" w:lineRule="auto"/>
              <w:ind w:firstLine="240" w:firstLineChars="1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优质响铜，扁平圆体，有边，边孔较小，系以绳。厚薄均匀，平整无毛刺，无裂缝，表面抛光氧化处理并涂油。</w:t>
            </w:r>
          </w:p>
          <w:p>
            <w:pPr>
              <w:autoSpaceDE w:val="0"/>
              <w:autoSpaceDN w:val="0"/>
              <w:adjustRightInd w:val="0"/>
              <w:spacing w:line="240" w:lineRule="auto"/>
              <w:ind w:firstLine="240" w:firstLineChars="1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音质要求：中心发音较低，靠边的部分发音较高，在锣边、锣心或二者之间，击奏不同的音色和音高。</w:t>
            </w:r>
          </w:p>
          <w:p>
            <w:pPr>
              <w:autoSpaceDE w:val="0"/>
              <w:autoSpaceDN w:val="0"/>
              <w:adjustRightInd w:val="0"/>
              <w:spacing w:line="240" w:lineRule="auto"/>
              <w:ind w:firstLine="240" w:firstLineChars="1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配锣锤，表面无疤痕</w:t>
            </w:r>
          </w:p>
          <w:p>
            <w:pPr>
              <w:autoSpaceDE w:val="0"/>
              <w:autoSpaceDN w:val="0"/>
              <w:adjustRightInd w:val="0"/>
              <w:spacing w:line="240" w:lineRule="auto"/>
              <w:ind w:firstLine="240" w:firstLineChars="10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尺寸：直径≥32cm。   材质：铜</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6镲</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102小镲</w:t>
            </w:r>
          </w:p>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材质：优质响铜。直径：25cm。重量（斤）：1.7。</w:t>
            </w:r>
          </w:p>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每副两片，相击发声。乐器为圆形，中间隆起半球形钹碗。钹边平滑、平整、无毛刺、无裂缝、周边无棱角。钹音丰富洪亮余音绵长，穿透力很强，能烘托气氛。无明显转音及颤音，发金属体鸣乐器音，无固定音高。材质：响桐材质（80%多的铜+10%多的锡和铅按一定比例组成）。</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仿宋_GB2312" w:cs="宋体"/>
                <w:kern w:val="2"/>
                <w:sz w:val="24"/>
                <w:szCs w:val="20"/>
                <w:lang w:val="en-US" w:eastAsia="zh-CN" w:bidi="ar-SA"/>
              </w:rPr>
            </w:pPr>
          </w:p>
          <w:p>
            <w:pPr>
              <w:jc w:val="cente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7唢呐</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特级老红木材质唢呐碗为H68铜材质，外观镀铬，音质通透、无杂音。配备：专用唢呐引子、唢呐专用包。</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1支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28" w:type="dxa"/>
            <w:vMerge w:val="continue"/>
            <w:tcBorders>
              <w:left w:val="doub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仿宋_GB2312" w:cs="宋体"/>
                <w:kern w:val="2"/>
                <w:sz w:val="24"/>
                <w:szCs w:val="20"/>
                <w:lang w:val="en-US" w:eastAsia="zh-CN" w:bidi="ar-SA"/>
              </w:rPr>
            </w:pPr>
          </w:p>
          <w:p>
            <w:pP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8三角铁</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乐队演奏型专业三角铁(配挂绳式实木提手)</w:t>
            </w:r>
          </w:p>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主体尺寸：8英寸边长200mm</w:t>
            </w:r>
          </w:p>
          <w:p>
            <w:pPr>
              <w:autoSpaceDE w:val="0"/>
              <w:autoSpaceDN w:val="0"/>
              <w:adjustRightInd w:val="0"/>
              <w:spacing w:line="240" w:lineRule="auto"/>
              <w:ind w:firstLine="120" w:firstLineChars="50"/>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主体直径：12mm</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28"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eastAsia="仿宋_GB2312" w:cs="宋体"/>
                <w:kern w:val="2"/>
                <w:sz w:val="24"/>
                <w:szCs w:val="20"/>
                <w:lang w:val="en-US" w:eastAsia="zh-CN" w:bidi="ar-SA"/>
              </w:rPr>
            </w:pPr>
          </w:p>
        </w:tc>
        <w:tc>
          <w:tcPr>
            <w:tcW w:w="1077" w:type="dxa"/>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ascii="宋体" w:hAnsi="宋体" w:eastAsia="仿宋_GB2312" w:cs="宋体"/>
                <w:kern w:val="2"/>
                <w:sz w:val="24"/>
                <w:szCs w:val="20"/>
                <w:lang w:val="en-US" w:eastAsia="zh-CN" w:bidi="ar-SA"/>
              </w:rPr>
            </w:pPr>
          </w:p>
          <w:p>
            <w:pPr>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9.沙锤</w:t>
            </w:r>
          </w:p>
        </w:tc>
        <w:tc>
          <w:tcPr>
            <w:tcW w:w="64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4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木质 20cm</w:t>
            </w:r>
          </w:p>
        </w:tc>
        <w:tc>
          <w:tcPr>
            <w:tcW w:w="980" w:type="dxa"/>
            <w:tcBorders>
              <w:top w:val="single" w:color="auto" w:sz="4" w:space="0"/>
              <w:left w:val="single" w:color="auto" w:sz="4" w:space="0"/>
              <w:bottom w:val="single" w:color="auto" w:sz="4" w:space="0"/>
              <w:right w:val="double" w:color="auto" w:sz="4" w:space="0"/>
            </w:tcBorders>
            <w:noWrap w:val="0"/>
            <w:vAlign w:val="center"/>
          </w:tcPr>
          <w:p>
            <w:pPr>
              <w:autoSpaceDE w:val="0"/>
              <w:autoSpaceDN w:val="0"/>
              <w:adjustRightInd w:val="0"/>
              <w:spacing w:line="360" w:lineRule="auto"/>
              <w:jc w:val="left"/>
              <w:rPr>
                <w:rFonts w:hint="eastAsia" w:ascii="宋体" w:hAnsi="宋体" w:eastAsia="仿宋_GB2312" w:cs="宋体"/>
                <w:kern w:val="2"/>
                <w:sz w:val="24"/>
                <w:szCs w:val="20"/>
                <w:lang w:val="en-US" w:eastAsia="zh-CN" w:bidi="ar-SA"/>
              </w:rPr>
            </w:pPr>
            <w:r>
              <w:rPr>
                <w:rFonts w:hint="eastAsia" w:ascii="宋体" w:hAnsi="宋体" w:eastAsia="仿宋_GB2312" w:cs="宋体"/>
                <w:kern w:val="2"/>
                <w:sz w:val="24"/>
                <w:szCs w:val="20"/>
                <w:lang w:val="en-US" w:eastAsia="zh-CN" w:bidi="ar-SA"/>
              </w:rPr>
              <w:t>2个</w:t>
            </w:r>
          </w:p>
        </w:tc>
      </w:tr>
    </w:tbl>
    <w:p>
      <w:pPr>
        <w:pStyle w:val="2"/>
        <w:ind w:left="0" w:leftChars="0" w:firstLine="0" w:firstLineChars="0"/>
        <w:rPr>
          <w:rFonts w:hint="eastAsia" w:ascii="宋体" w:hAnsi="宋体" w:eastAsia="仿宋_GB2312" w:cs="宋体"/>
          <w:kern w:val="2"/>
          <w:sz w:val="24"/>
          <w:szCs w:val="20"/>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77D51"/>
    <w:multiLevelType w:val="singleLevel"/>
    <w:tmpl w:val="A8577D51"/>
    <w:lvl w:ilvl="0" w:tentative="0">
      <w:start w:val="7"/>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2U4NmI1OTgxYjEwMDNiMTg2OWE5YmVmM2RmZTgifQ=="/>
    <w:docVar w:name="KSO_WPS_MARK_KEY" w:val="0d8e61ef-87ee-430f-9b2d-c6d4588cd764"/>
  </w:docVars>
  <w:rsids>
    <w:rsidRoot w:val="314C31BD"/>
    <w:rsid w:val="04161698"/>
    <w:rsid w:val="14E82BDD"/>
    <w:rsid w:val="1A7867B1"/>
    <w:rsid w:val="29AB625B"/>
    <w:rsid w:val="314C31BD"/>
    <w:rsid w:val="470A2EDA"/>
    <w:rsid w:val="4B11660F"/>
    <w:rsid w:val="5D537A94"/>
    <w:rsid w:val="640148C6"/>
    <w:rsid w:val="65EF0A6C"/>
    <w:rsid w:val="785C0612"/>
    <w:rsid w:val="78CF3A10"/>
    <w:rsid w:val="7967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0"/>
    <w:pPr>
      <w:ind w:firstLine="200" w:firstLineChars="200"/>
    </w:pPr>
  </w:style>
  <w:style w:type="paragraph" w:customStyle="1" w:styleId="9">
    <w:name w:val="Normal Indent1"/>
    <w:qFormat/>
    <w:uiPriority w:val="7"/>
    <w:pPr>
      <w:widowControl w:val="0"/>
      <w:autoSpaceDE w:val="0"/>
      <w:autoSpaceDN w:val="0"/>
      <w:spacing w:before="0" w:after="0" w:line="440" w:lineRule="exact"/>
      <w:ind w:left="0" w:right="0" w:firstLine="480"/>
      <w:jc w:val="left"/>
    </w:pPr>
    <w:rPr>
      <w:rFonts w:ascii="Times New Roman" w:hAnsi="Times New Roman" w:eastAsia="仿宋_GB2312" w:cs="仿宋_GB2312"/>
      <w:kern w:val="1"/>
      <w:sz w:val="32"/>
      <w:szCs w:val="22"/>
      <w:lang w:val="zh-CN" w:eastAsia="zh-CN" w:bidi="zh-C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1564</Words>
  <Characters>1719</Characters>
  <Lines>0</Lines>
  <Paragraphs>0</Paragraphs>
  <TotalTime>10</TotalTime>
  <ScaleCrop>false</ScaleCrop>
  <LinksUpToDate>false</LinksUpToDate>
  <CharactersWithSpaces>1769</CharactersWithSpaces>
  <Application>WPS Office_11.1.0.12970_F1E327BC-269C-435d-A152-05C5408002CA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2023-02-13T03:06:00Z</dcterms:created>
  <dc:creator>媛^O^</dc:creator>
  <lastModifiedBy>媛^O^</lastModifiedBy>
  <lastPrinted>2023-02-13T03:06:00Z</lastPrinted>
  <dcterms:modified xsi:type="dcterms:W3CDTF">2023-02-15T01:32:53Z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46E24F52903C4C29B95F4E8F86D4A88C</vt:lpwstr>
  </property>
</Properties>
</file>