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3-4号教学楼建设地质勘察服务</w:t>
      </w:r>
      <w:r>
        <w:rPr>
          <w:rFonts w:hint="eastAsia" w:ascii="宋体" w:hAnsi="宋体"/>
          <w:b/>
          <w:sz w:val="44"/>
          <w:szCs w:val="44"/>
        </w:rPr>
        <w:t>询价通知书</w:t>
      </w:r>
    </w:p>
    <w:p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项目简介：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3-4号教学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楼建设地质勘察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服务，建筑面积约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20000平方米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5层</w:t>
      </w:r>
      <w:r>
        <w:rPr>
          <w:rFonts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共布置约20个孔，孔深12-15米，其中12个12米孔，8个15米孔，合计共264米。具体布控数量可根据《岩土工程勘察规范》，结合现场实际情况调整。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项目名称和编号：山东水利技师学院3-4号教学楼地质勘察服务；</w:t>
      </w:r>
      <w:r>
        <w:rPr>
          <w:rFonts w:hint="eastAsia" w:ascii="文星标宋" w:hAnsi="文星标宋" w:eastAsia="文星标宋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SDSLJSXY20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</w:rPr>
        <w:t>0</w:t>
      </w:r>
      <w:r>
        <w:rPr>
          <w:rFonts w:hint="eastAsia" w:ascii="宋体" w:hAnsi="宋体" w:cs="宋体"/>
          <w:i w:val="0"/>
          <w:caps w:val="0"/>
          <w:color w:val="212121"/>
          <w:spacing w:val="0"/>
          <w:kern w:val="2"/>
          <w:sz w:val="28"/>
          <w:szCs w:val="28"/>
          <w:shd w:val="clear" w:fill="FFFFFF"/>
          <w:lang w:val="en-US" w:eastAsia="zh-CN"/>
        </w:rPr>
        <w:t>3</w:t>
      </w:r>
      <w:r>
        <w:rPr>
          <w:rFonts w:ascii="仿宋_GB2312" w:hAnsi="微软雅黑" w:eastAsia="仿宋_GB2312" w:cs="仿宋_GB2312"/>
          <w:color w:val="212121"/>
          <w:kern w:val="2"/>
          <w:sz w:val="28"/>
          <w:szCs w:val="28"/>
          <w:shd w:val="clear" w:fill="FFFFFF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项目预算：地质勘探服务采购预算2.112万元，报价高于采购预算为无效报价。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三、报价等要求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1、本项目为“交钥匙”工程，报价含材料、主件、附件的运输、装卸、保险、施工、验收、安全、技术服务、指导、协助、售后服务、税金及其他费用。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2、因本项目施工过程中如出现施工人员人身意外伤害事故，山东水利技师学院不承担任何责任。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3、报价分为单位工程量报价和总工程量报价。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4、成交规则为满足甲方要求的前提下，报价最低的报价单位为成交单位。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1、查明场地范围内的地层结构、分布规律和各岩土层的物理力学性质指标，并评价地基础的均匀性。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2、确定地基上的承载力，分析评价场地、地基的稳定性和建筑的适宜性。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3、查明地下水埋藏条件、年变化幅度、评价地下水和场地土对建筑材料的腐蚀性。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4、判明场地土类型和建筑场地类别，查明场地内有无可液化土层，并对其液化的可能性做出评价，提供场地抗震设计参数。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5、对可供采用的地基基础设计方案进行论证分析，提供合理的地基基础设计方案建议。提供与设计要求相对应的地基承载力及变形参数，并对其进行分析评价。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6、提供基坑开挖的边坡稳定计算和支护设计所需的岩土技术参数，并对设计与施工应注意的有关问题，提出相应的设计与基础施工建议措施。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7、技术规范依据《岩土工程勘察规范》</w:t>
      </w:r>
    </w:p>
    <w:p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注：1、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勘察完毕后需出具有效地质勘察报告，供设计及图审使用。</w:t>
      </w:r>
    </w:p>
    <w:p>
      <w:pPr>
        <w:spacing w:line="360" w:lineRule="auto"/>
        <w:ind w:firstLine="1285" w:firstLineChars="4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、工期要求：供应商签订合同后十五天内完成现场作业并出具地质勘察报告。</w:t>
      </w:r>
    </w:p>
    <w:p>
      <w:pPr>
        <w:spacing w:line="360" w:lineRule="auto"/>
        <w:ind w:firstLine="1285" w:firstLineChars="4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3、付款方式：项目勘察完成提交合格的地质勘察报告及相关资料后付款90%，项目设计、图审通过后供应商开具正式发票，学院办理报销手续以对公转帐方式一次性付清余款。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资格要求：</w:t>
      </w:r>
    </w:p>
    <w:p>
      <w:pPr>
        <w:widowControl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、具备合法的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法人资格；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、有固定的经营场所，并具有相关资质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（工程勘察专业类（岩土工程（勘察））专业甲级）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信用证明</w:t>
      </w:r>
      <w:bookmarkStart w:id="1" w:name="_GoBack"/>
      <w:bookmarkEnd w:id="1"/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通过“信用中国”网站（www.creditchina.gov.cn）、中国政府采购网（www.ccgp.gov.cn）查询，未被列入失信被执行人、重大税收违法案件当事人、政府采购严重违法失信行为记录名单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6"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、询价截止时间：</w:t>
      </w:r>
    </w:p>
    <w:p>
      <w:pPr>
        <w:pStyle w:val="16"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人须于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2020年4月15日上午9：00前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将报价以及相关资质文件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装订盖章后</w:t>
      </w:r>
      <w:r>
        <w:rPr>
          <w:rFonts w:hint="eastAsia" w:ascii="仿宋_GB2312" w:hAnsi="仿宋_GB2312" w:eastAsia="仿宋_GB2312" w:cs="仿宋_GB2312"/>
          <w:sz w:val="32"/>
          <w:szCs w:val="32"/>
        </w:rPr>
        <w:t>（档案袋密封）送达。逾期送达或不符合规定的文件将被拒绝。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、送达地点：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山东水利技师学院行政楼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123办公室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老师</w:t>
      </w:r>
    </w:p>
    <w:p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3825031</w:t>
      </w: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山东水利技师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  <w:bookmarkStart w:id="0" w:name="_Toc422127082"/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pStyle w:val="19"/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、报价一览表</w:t>
      </w:r>
      <w:bookmarkEnd w:id="0"/>
    </w:p>
    <w:p>
      <w:pPr>
        <w:pStyle w:val="3"/>
        <w:ind w:left="1320" w:right="-827" w:hanging="900"/>
        <w:rPr>
          <w:rFonts w:hAnsi="宋体"/>
        </w:rPr>
      </w:pPr>
      <w:r>
        <w:rPr>
          <w:rFonts w:hint="eastAsia" w:hAnsi="宋体"/>
        </w:rPr>
        <w:t>报价单位名称（公章）：</w:t>
      </w:r>
      <w:r>
        <w:rPr>
          <w:rFonts w:hint="eastAsia" w:hAnsi="宋体"/>
          <w:u w:val="single"/>
        </w:rPr>
        <w:t xml:space="preserve">               </w:t>
      </w:r>
      <w:r>
        <w:rPr>
          <w:rFonts w:hint="eastAsia" w:hAnsi="宋体"/>
        </w:rPr>
        <w:t xml:space="preserve">    法定代表人或授权代理人签字</w:t>
      </w:r>
      <w:r>
        <w:rPr>
          <w:rFonts w:hint="eastAsia" w:hAnsi="宋体"/>
          <w:u w:val="single"/>
        </w:rPr>
        <w:t xml:space="preserve">：       </w:t>
      </w:r>
    </w:p>
    <w:tbl>
      <w:tblPr>
        <w:tblStyle w:val="9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926"/>
        <w:gridCol w:w="1915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报价单位名称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总报价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投标总报价：</w:t>
            </w:r>
            <w:r>
              <w:rPr>
                <w:rFonts w:hint="eastAsia" w:ascii="宋体" w:cs="宋体"/>
                <w:color w:val="000000"/>
                <w:sz w:val="24"/>
                <w:szCs w:val="24"/>
                <w:u w:val="single"/>
                <w:lang w:bidi="ar"/>
              </w:rPr>
              <w:t xml:space="preserve">（大写）                   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元人民币</w:t>
            </w:r>
          </w:p>
          <w:p>
            <w:pPr>
              <w:spacing w:line="360" w:lineRule="auto"/>
              <w:ind w:firstLine="1440" w:firstLineChars="600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u w:val="single"/>
                <w:lang w:bidi="ar"/>
              </w:rPr>
              <w:t xml:space="preserve">（小写）                   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元人民币</w:t>
            </w:r>
          </w:p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单      价：</w:t>
            </w:r>
            <w:r>
              <w:rPr>
                <w:rFonts w:hint="eastAsia" w:ascii="宋体" w:cs="宋体"/>
                <w:color w:val="000000"/>
                <w:sz w:val="24"/>
                <w:szCs w:val="24"/>
                <w:u w:val="single"/>
                <w:lang w:bidi="ar"/>
              </w:rPr>
              <w:t>（大写）                （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元/米）</w:t>
            </w:r>
          </w:p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宋体" w:cs="宋体"/>
                <w:color w:val="000000"/>
                <w:sz w:val="24"/>
                <w:szCs w:val="24"/>
                <w:u w:val="single"/>
                <w:lang w:bidi="ar"/>
              </w:rPr>
              <w:t>（小写）                （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元/米）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勘探周期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工程工期</w:t>
            </w:r>
            <w:r>
              <w:rPr>
                <w:rFonts w:hint="eastAsia" w:ascii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服务周期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自签订合同之日起至工程施工竣工验收合格。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项目负责人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eastAsia="zh-CN" w:bidi="ar"/>
              </w:rPr>
              <w:t>和联系电话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1、本报价是我方在充分阅读和理解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eastAsia="zh-CN"/>
              </w:rPr>
              <w:t>询价通知书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的各项内容后，经实地考察的基础上作出的报价。</w:t>
            </w:r>
          </w:p>
          <w:p>
            <w:pPr>
              <w:spacing w:line="360" w:lineRule="auto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2、我方完全理解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eastAsia="zh-CN"/>
              </w:rPr>
              <w:t>询价通知书</w:t>
            </w:r>
            <w:r>
              <w:rPr>
                <w:rFonts w:hint="eastAsia" w:ascii="宋体" w:cs="宋体"/>
                <w:color w:val="000000"/>
                <w:sz w:val="24"/>
                <w:szCs w:val="24"/>
              </w:rPr>
              <w:t>所作出的风险提示，因此，在报价中已经包含各种风险因素。</w:t>
            </w:r>
          </w:p>
        </w:tc>
      </w:tr>
    </w:tbl>
    <w:p>
      <w:pPr>
        <w:ind w:firstLine="482" w:firstLineChars="200"/>
        <w:rPr>
          <w:rFonts w:hint="eastAsia"/>
          <w:b/>
          <w:sz w:val="24"/>
        </w:rPr>
      </w:pP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 本表一式三份，单独密封，供唱价用。</w:t>
      </w:r>
    </w:p>
    <w:p>
      <w:pPr>
        <w:pStyle w:val="2"/>
      </w:pPr>
    </w:p>
    <w:p>
      <w:pPr>
        <w:pStyle w:val="19"/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二、法定代表人授权委托书</w:t>
      </w:r>
    </w:p>
    <w:p>
      <w:pPr>
        <w:spacing w:line="56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法人授权委托书</w:t>
      </w:r>
    </w:p>
    <w:p>
      <w:pPr>
        <w:spacing w:line="560" w:lineRule="exact"/>
        <w:jc w:val="center"/>
        <w:rPr>
          <w:rFonts w:hint="eastAsia" w:ascii="宋体" w:hAnsi="宋体"/>
          <w:sz w:val="24"/>
          <w:szCs w:val="24"/>
        </w:rPr>
      </w:pPr>
    </w:p>
    <w:p>
      <w:pPr>
        <w:pStyle w:val="3"/>
        <w:spacing w:line="460" w:lineRule="exact"/>
        <w:ind w:firstLine="480"/>
        <w:rPr>
          <w:rFonts w:hint="eastAsia" w:hAnsi="宋体"/>
          <w:szCs w:val="24"/>
        </w:rPr>
      </w:pPr>
      <w:r>
        <w:rPr>
          <w:rFonts w:hint="eastAsia" w:hAnsi="宋体"/>
          <w:szCs w:val="24"/>
          <w:u w:val="single"/>
        </w:rPr>
        <w:t xml:space="preserve">                         </w:t>
      </w:r>
      <w:r>
        <w:rPr>
          <w:rFonts w:hint="eastAsia" w:hAnsi="宋体"/>
          <w:szCs w:val="24"/>
        </w:rPr>
        <w:t>（供应商名称）法定代表人</w:t>
      </w:r>
      <w:r>
        <w:rPr>
          <w:rFonts w:hint="eastAsia" w:hAnsi="宋体"/>
          <w:szCs w:val="24"/>
          <w:u w:val="single"/>
        </w:rPr>
        <w:t xml:space="preserve">                    </w:t>
      </w:r>
      <w:r>
        <w:rPr>
          <w:rFonts w:hint="eastAsia" w:hAnsi="宋体"/>
          <w:szCs w:val="24"/>
        </w:rPr>
        <w:t>授权我单位</w:t>
      </w:r>
      <w:r>
        <w:rPr>
          <w:rFonts w:hint="eastAsia" w:hAnsi="宋体"/>
          <w:szCs w:val="24"/>
          <w:u w:val="single"/>
        </w:rPr>
        <w:t xml:space="preserve">                      </w:t>
      </w:r>
      <w:r>
        <w:rPr>
          <w:rFonts w:hint="eastAsia" w:hAnsi="宋体"/>
          <w:szCs w:val="24"/>
        </w:rPr>
        <w:t>（职务或职称）</w:t>
      </w:r>
      <w:r>
        <w:rPr>
          <w:rFonts w:hint="eastAsia" w:hAnsi="宋体"/>
          <w:szCs w:val="24"/>
          <w:u w:val="single"/>
        </w:rPr>
        <w:t xml:space="preserve">                    </w:t>
      </w:r>
      <w:r>
        <w:rPr>
          <w:rFonts w:hint="eastAsia" w:hAnsi="宋体"/>
          <w:szCs w:val="24"/>
        </w:rPr>
        <w:t>（姓名）为我单位本次磋商授权代理人，全权办理此次</w:t>
      </w:r>
      <w:r>
        <w:rPr>
          <w:rFonts w:hint="eastAsia" w:hAnsi="宋体"/>
          <w:szCs w:val="24"/>
          <w:u w:val="single"/>
        </w:rPr>
        <w:t xml:space="preserve">                                     </w:t>
      </w:r>
      <w:r>
        <w:rPr>
          <w:rFonts w:hint="eastAsia" w:hAnsi="宋体"/>
          <w:szCs w:val="24"/>
        </w:rPr>
        <w:t>竞争性磋商政府采购项目（项目编号：</w:t>
      </w:r>
      <w:r>
        <w:rPr>
          <w:rFonts w:hint="eastAsia" w:hAnsi="宋体"/>
          <w:szCs w:val="24"/>
          <w:u w:val="single"/>
        </w:rPr>
        <w:t xml:space="preserve">                 </w:t>
      </w:r>
      <w:r>
        <w:rPr>
          <w:rFonts w:hint="eastAsia" w:hAnsi="宋体"/>
          <w:szCs w:val="24"/>
        </w:rPr>
        <w:t>）的一切事宜。代理人在该项目活动中所签署的一切文件，我（单位）均予承认。</w:t>
      </w:r>
    </w:p>
    <w:p>
      <w:pPr>
        <w:pStyle w:val="3"/>
        <w:spacing w:line="460" w:lineRule="exact"/>
        <w:ind w:firstLine="48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代理人无转委托权。</w:t>
      </w: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ind w:firstLine="48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特此授权。</w:t>
      </w: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（附授权代理人身份证明复印件）</w:t>
      </w: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授权单位（公章）：</w:t>
      </w:r>
      <w:r>
        <w:rPr>
          <w:rFonts w:hint="eastAsia" w:hAnsi="宋体"/>
          <w:szCs w:val="24"/>
          <w:u w:val="single"/>
        </w:rPr>
        <w:t xml:space="preserve">                        </w:t>
      </w:r>
    </w:p>
    <w:p>
      <w:pPr>
        <w:pStyle w:val="3"/>
        <w:spacing w:line="460" w:lineRule="exact"/>
        <w:rPr>
          <w:rFonts w:hint="eastAsia" w:hAnsi="宋体"/>
          <w:szCs w:val="24"/>
        </w:rPr>
      </w:pPr>
    </w:p>
    <w:p>
      <w:pPr>
        <w:pStyle w:val="3"/>
        <w:spacing w:line="460" w:lineRule="exact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法定代表人（签字或盖章）：</w:t>
      </w:r>
      <w:r>
        <w:rPr>
          <w:rFonts w:hint="eastAsia" w:hAnsi="宋体"/>
          <w:szCs w:val="24"/>
          <w:u w:val="single"/>
        </w:rPr>
        <w:t xml:space="preserve">                      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ind w:left="796" w:leftChars="379"/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 月     日</w:t>
      </w:r>
    </w:p>
    <w:p>
      <w:pPr>
        <w:pStyle w:val="20"/>
        <w:spacing w:before="240" w:line="360" w:lineRule="auto"/>
        <w:ind w:firstLine="504"/>
        <w:rPr>
          <w:rFonts w:hint="eastAsia" w:ascii="宋体" w:hAnsi="宋体"/>
          <w:szCs w:val="24"/>
        </w:rPr>
      </w:pPr>
    </w:p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8E85"/>
    <w:multiLevelType w:val="singleLevel"/>
    <w:tmpl w:val="0AD28E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C2"/>
    <w:rsid w:val="00005101"/>
    <w:rsid w:val="00084164"/>
    <w:rsid w:val="00143203"/>
    <w:rsid w:val="0021247C"/>
    <w:rsid w:val="003D1F36"/>
    <w:rsid w:val="00452A64"/>
    <w:rsid w:val="004F4A8D"/>
    <w:rsid w:val="00654C91"/>
    <w:rsid w:val="00663AD7"/>
    <w:rsid w:val="007F53C2"/>
    <w:rsid w:val="00955E31"/>
    <w:rsid w:val="00A3601D"/>
    <w:rsid w:val="00D058F0"/>
    <w:rsid w:val="00D14B93"/>
    <w:rsid w:val="00D81E89"/>
    <w:rsid w:val="00EA133A"/>
    <w:rsid w:val="00F47A10"/>
    <w:rsid w:val="1A2D6846"/>
    <w:rsid w:val="1E365C97"/>
    <w:rsid w:val="3202322A"/>
    <w:rsid w:val="3C5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4"/>
    <w:unhideWhenUsed/>
    <w:qFormat/>
    <w:uiPriority w:val="0"/>
    <w:rPr>
      <w:rFonts w:ascii="宋体" w:hAnsi="Courier New" w:eastAsia="宋体" w:cs="宋体"/>
      <w:szCs w:val="21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link w:val="13"/>
    <w:semiHidden/>
    <w:unhideWhenUsed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 Char"/>
    <w:basedOn w:val="11"/>
    <w:link w:val="3"/>
    <w:semiHidden/>
    <w:uiPriority w:val="99"/>
  </w:style>
  <w:style w:type="character" w:customStyle="1" w:styleId="13">
    <w:name w:val="正文首行缩进 Char"/>
    <w:basedOn w:val="12"/>
    <w:link w:val="8"/>
    <w:semiHidden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4">
    <w:name w:val="纯文本 Char"/>
    <w:basedOn w:val="11"/>
    <w:link w:val="4"/>
    <w:qFormat/>
    <w:uiPriority w:val="0"/>
    <w:rPr>
      <w:rFonts w:ascii="宋体" w:hAnsi="Courier New" w:eastAsia="宋体" w:cs="宋体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9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20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142</Words>
  <Characters>814</Characters>
  <Lines>6</Lines>
  <Paragraphs>1</Paragraphs>
  <TotalTime>42</TotalTime>
  <ScaleCrop>false</ScaleCrop>
  <LinksUpToDate>false</LinksUpToDate>
  <CharactersWithSpaces>955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2020-03-17T10:03:00Z</dcterms:created>
  <dc:creator>USER-</dc:creator>
  <lastModifiedBy>CCZK</lastModifiedBy>
  <lastPrinted>2020-03-17T10:03:00Z</lastPrinted>
  <dcterms:modified xsi:type="dcterms:W3CDTF">2020-04-09T02:47:14Z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